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382D35DB" w14:textId="77777777" w:rsidR="00500587" w:rsidRDefault="00500587" w:rsidP="00500587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500587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6" w14:textId="567DEE56" w:rsidR="00137532" w:rsidRPr="00207CC1" w:rsidRDefault="00500587" w:rsidP="00500587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0587">
        <w:rPr>
          <w:rFonts w:ascii="ＭＳ Ｐゴシック" w:eastAsia="ＭＳ Ｐゴシック" w:hAnsi="ＭＳ Ｐゴシック" w:hint="eastAsia"/>
          <w:b/>
          <w:sz w:val="30"/>
          <w:szCs w:val="30"/>
        </w:rPr>
        <w:t>「ガスリフト方式による揚収制御技術の開発」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F0DA8F2" w14:textId="77777777" w:rsidR="00500587" w:rsidRDefault="00500587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500587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6822F0B0" w14:textId="1F788EDE" w:rsidR="00500587" w:rsidRDefault="00500587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500587">
        <w:rPr>
          <w:rFonts w:ascii="ＭＳ Ｐゴシック" w:eastAsia="ＭＳ Ｐゴシック" w:hAnsi="ＭＳ Ｐゴシック" w:hint="eastAsia"/>
          <w:sz w:val="22"/>
          <w:szCs w:val="22"/>
        </w:rPr>
        <w:t>「ガスリフト方式による揚収制御技術の開発」</w:t>
      </w:r>
    </w:p>
    <w:p w14:paraId="769B05A0" w14:textId="3E8AA684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749AE3A7" w:rsidR="00285703" w:rsidRDefault="00500587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500587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国内石油天然ガス地質調査・メタンハイドレート研究開発等事業（メタンハイドレートの研究開発）「ガスリフト方式による揚収制御技術の開発」</w:t>
      </w:r>
    </w:p>
    <w:p w14:paraId="5E57A167" w14:textId="77777777" w:rsidR="00500587" w:rsidRPr="006E3364" w:rsidRDefault="00500587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137"/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065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8pt;height:475.2pt" o:ole="">
            <v:imagedata r:id="rId11" o:title=""/>
          </v:shape>
          <o:OLEObject Type="Embed" ProgID="Excel.Sheet.12" ShapeID="_x0000_i1025" DrawAspect="Content" ObjectID="_1837619557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4BC5" w14:textId="77777777" w:rsidR="001E58DB" w:rsidRDefault="001E58DB">
      <w:r>
        <w:separator/>
      </w:r>
    </w:p>
  </w:endnote>
  <w:endnote w:type="continuationSeparator" w:id="0">
    <w:p w14:paraId="189863C2" w14:textId="77777777" w:rsidR="001E58DB" w:rsidRDefault="001E58DB">
      <w:r>
        <w:continuationSeparator/>
      </w:r>
    </w:p>
  </w:endnote>
  <w:endnote w:type="continuationNotice" w:id="1">
    <w:p w14:paraId="59F412D6" w14:textId="77777777" w:rsidR="001E58DB" w:rsidRDefault="001E58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C46E" w14:textId="77777777" w:rsidR="001E58DB" w:rsidRDefault="001E58DB">
      <w:r>
        <w:separator/>
      </w:r>
    </w:p>
  </w:footnote>
  <w:footnote w:type="continuationSeparator" w:id="0">
    <w:p w14:paraId="5C23D1AC" w14:textId="77777777" w:rsidR="001E58DB" w:rsidRDefault="001E58DB">
      <w:r>
        <w:continuationSeparator/>
      </w:r>
    </w:p>
  </w:footnote>
  <w:footnote w:type="continuationNotice" w:id="1">
    <w:p w14:paraId="70276E76" w14:textId="77777777" w:rsidR="001E58DB" w:rsidRDefault="001E58D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58DB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0587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2B32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C3E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3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1677</Words>
  <Characters>1807</Characters>
  <Application>Microsoft Office Word</Application>
  <DocSecurity>0</DocSecurity>
  <Lines>196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